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宋体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宋体"/>
          <w:color w:val="000000"/>
          <w:kern w:val="0"/>
          <w:sz w:val="24"/>
          <w:szCs w:val="24"/>
        </w:rPr>
        <w:t>附件：加州大学伯克利分校</w:t>
      </w:r>
      <w:bookmarkStart w:id="0" w:name="_GoBack"/>
      <w:bookmarkEnd w:id="0"/>
      <w:r>
        <w:rPr>
          <w:rFonts w:hint="eastAsia" w:ascii="Arial" w:hAnsi="Arial" w:eastAsia="宋体" w:cs="宋体"/>
          <w:color w:val="000000"/>
          <w:kern w:val="0"/>
          <w:sz w:val="24"/>
          <w:szCs w:val="24"/>
        </w:rPr>
        <w:t>2024年冬季学期学分项目（线上）部分课程列表</w:t>
      </w:r>
    </w:p>
    <w:p>
      <w:pPr>
        <w:rPr>
          <w:rFonts w:ascii="Arial" w:hAnsi="Arial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320"/>
        <w:gridCol w:w="13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5" w:type="dxa"/>
            <w:shd w:val="clear" w:color="auto" w:fill="F9DBDE" w:themeFill="accent6" w:themeFillTint="33"/>
          </w:tcPr>
          <w:p>
            <w:pPr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289" w:type="dxa"/>
            <w:gridSpan w:val="3"/>
            <w:shd w:val="clear" w:color="auto" w:fill="F9DBDE" w:themeFill="accent6" w:themeFillTint="33"/>
          </w:tcPr>
          <w:p>
            <w:pPr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805" w:type="dxa"/>
            <w:shd w:val="clear" w:color="auto" w:fill="F8CCAB" w:themeFill="accent2" w:themeFillTint="66"/>
          </w:tcPr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艺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术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、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设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4333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设计沟通 I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设计沟通 II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设计沟通 III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设计原则和元素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设计工作室I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设计工作室 II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UX的图表和原型设计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数码摄影基础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数码摄影中级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数字演示技术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绘图基础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动态图形的要点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用户体验 (UX)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实验绘图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室内设计基础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照明设计基础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图形和网页设计组合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建筑、室内和装饰艺术史 I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Photoshop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可持续性原则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使用 HTML5 和 CSS3 进行网页设计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用户界面 (UI) 设计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用户体验设计组合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视觉设计原则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6" w:type="dxa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3D 动画和视觉特效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UX 设计中的可访问性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Adobe 数字工具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高级 Revit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  <w:t>AutoCAD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室内设计师的商业实践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室内色彩理论与应用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使用 iPad 进行通信设计图形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水性媒介的当代绘画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摄影史：动态研究与实践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插图儿童读物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插画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设计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信息架构 (IA) 和内容策略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室内饰面和材料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室内设计实习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现代艺术：历史与理论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绘画基础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  <w:t>Revit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服务设计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空间规划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排版基础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用户体验用户研究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05" w:type="dxa"/>
            <w:shd w:val="clear" w:color="auto" w:fill="FEF2CA" w:themeFill="accent3" w:themeFillTint="33"/>
          </w:tcPr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健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康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科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4333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变态心理学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青少年心理学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生物心理学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临床精神药理学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认知心理学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咨询和心理治疗作为职业选择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发展心理学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成年期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医疗保健中的伦理和法律问题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6" w:type="dxa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普通营养学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普通心理学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医疗保健宣传和文化多样性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医疗保健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医疗保险概述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流行病学原理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人格心理学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心理学研究方法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社会心理学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805" w:type="dxa"/>
            <w:shd w:val="clear" w:color="auto" w:fill="8496B0" w:themeFill="text2" w:themeFillTint="99"/>
          </w:tcPr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商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333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高级会计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敏捷原则和实践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敏捷产品管理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公司财务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行为金融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业务分析基础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业务分析计划和方法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商务谈判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业务流程建模与设计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业务解决方案开发和交付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业务解决方案评估和验证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企业财务分析与建模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数字营销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员工招聘、选拔和安置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就业福利和退休计划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劳工法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企业风险管理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律师助理：基础技能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律师助理：权威、研究和写作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商业要领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人力资源要领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管理要领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遗产规划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金融会计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财务报表分析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中级会计I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中级会计 II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6" w:type="dxa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组织与管理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律师助理商业法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加州律师助理程序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律师助理合同法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律师助理刑法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律师助理家庭法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律师助理知识产权法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律师助理侵权法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商法原理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项目成本和采购管理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项目执行和控制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项目管理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项目进度和风险管理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项目范围和质量管理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财务规划师的房地产投资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社交媒体营销策略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战略品牌管理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战略营销分析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个人理财规划人力资本分析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微观经济学导论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个人理财规划投资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管理会计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管理产品和上市策略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营销数据可视化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市场营销管理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市场策略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管理数学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805" w:type="dxa"/>
            <w:shd w:val="clear" w:color="auto" w:fill="F9DBDE" w:themeFill="accent6" w:themeFillTint="33"/>
          </w:tcPr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4333" w:type="dxa"/>
            <w:gridSpan w:val="2"/>
          </w:tcPr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TESOL中的文化响应</w:t>
            </w:r>
          </w:p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ESL教师语言学基础</w:t>
            </w:r>
          </w:p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ESL语法基础知识</w:t>
            </w:r>
          </w:p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美国高等教育史</w:t>
            </w:r>
          </w:p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美国政治概论</w:t>
            </w:r>
          </w:p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第二语言习得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6" w:type="dxa"/>
          </w:tcPr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英语作为第二语言的教学</w:t>
            </w:r>
          </w:p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ESL/EFL教师课程设计实习</w:t>
            </w:r>
          </w:p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高等教育中的社会正义问题</w:t>
            </w:r>
          </w:p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大学学生发展：从理论到实践</w:t>
            </w:r>
          </w:p>
          <w:p>
            <w:pPr>
              <w:pStyle w:val="5"/>
              <w:numPr>
                <w:ilvl w:val="1"/>
                <w:numId w:val="2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发音与语言交际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805" w:type="dxa"/>
            <w:shd w:val="clear" w:color="auto" w:fill="ADB9CA" w:themeFill="text2" w:themeFillTint="66"/>
          </w:tcPr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语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言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、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4320" w:type="dxa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美国环境和文化史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美国小说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当代声音：从边缘说话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探索创意写作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美国政治概论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莎士比亚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神秘小说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神秘写作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西班牙语会话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医疗专业人员西班牙语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初级西班牙语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805" w:type="dxa"/>
            <w:shd w:val="clear" w:color="auto" w:fill="F8CCAB" w:themeFill="accent2" w:themeFillTint="66"/>
          </w:tcPr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科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、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数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、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物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科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技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解析几何与微积分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生物化学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衰老生物学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微积分 1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微积分 2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细胞生物学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临床试验实施：现场启动、受试者招募、监测和安全报告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临床试验计划：方案开发、数据管理和临床现场活动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临床试验：数据分析、监管审核、供应商选择和项目管理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大学代数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物理概念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生物科学前沿研究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运动生理学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一般人体解剖学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遗传学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基因组医学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血液学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人类营养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免疫学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生物统计学概论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化学导论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临床研究简介：临床试验阶段和设计 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人体生理学概论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有机化学导论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统计学概论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生物学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哺乳动物系统生理学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管理数学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医学微生物学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医学术语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分子细胞生物学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分子内分泌学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神经科学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病理生理学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药理学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心脏和呼吸系统生理学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初等数学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传染病和新发传染病原理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法规事务原则：药品和医疗器械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供应链与制造原理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毒理学原理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定量分析：临床化学中的应用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干细胞生物学、研究和发现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人类癌症的生物学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药物开发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805" w:type="dxa"/>
            <w:shd w:val="clear" w:color="auto" w:fill="FEF2CA" w:themeFill="accent3" w:themeFillTint="33"/>
          </w:tcPr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信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息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、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4320" w:type="dxa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C++编程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SQL数据挖掘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Python数据科学原理与实践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数据可视化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Java入门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数据通信和网络基础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网站开发基础知识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大数据导论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C 语言程序设计导论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计算机与编程导论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网络安全概论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数据分析概论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软件项目管理</w:t>
            </w:r>
          </w:p>
        </w:tc>
        <w:tc>
          <w:tcPr>
            <w:tcW w:w="3969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数据科学导论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数据库简介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Python机器学习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SQL导论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Java：发现它的力量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JavaScript 和 jQuery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TensorFlow机器学习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SQL管理数据（基础）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掌握Python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实用机器学习（含 R）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R的数据科学家实用统计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Python编程 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805" w:type="dxa"/>
            <w:shd w:val="clear" w:color="auto" w:fill="EF939E" w:themeFill="accent6" w:themeFillTint="99"/>
          </w:tcPr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写</w:t>
            </w:r>
          </w:p>
          <w:p>
            <w:pPr>
              <w:snapToGrid w:val="0"/>
              <w:jc w:val="center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4320" w:type="dxa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文案编辑概论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中级文案编辑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工作场所的有效写作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探索创意写作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编辑器的语法、力学和用法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索引：理论与应用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中级小说写作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公共关系写作导论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新闻工作坊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撰写专题报道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诗歌工作坊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科学写作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技术交流 I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技术交流 II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技术交流III：信息设计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阅读的技巧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>写作技巧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为社交媒体写作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</w:rPr>
              <w:t xml:space="preserve">写作技巧工作坊 </w:t>
            </w:r>
          </w:p>
          <w:p>
            <w:pPr>
              <w:pStyle w:val="5"/>
              <w:snapToGrid w:val="0"/>
              <w:ind w:leftChars="0"/>
              <w:jc w:val="left"/>
              <w:rPr>
                <w:rFonts w:ascii="Arial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243C4"/>
    <w:multiLevelType w:val="multilevel"/>
    <w:tmpl w:val="252243C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EFF588C"/>
    <w:multiLevelType w:val="multilevel"/>
    <w:tmpl w:val="4EFF58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mIzZmRlOGM5MDlhMjA2NzIzMTFhYjk3MTI2MWQifQ=="/>
  </w:docVars>
  <w:rsids>
    <w:rsidRoot w:val="71AC61BE"/>
    <w:rsid w:val="71A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2023-11-30T08:27:00Z</dcterms:created>
  <dc:creator>WPS_1691373555</dc:creator>
  <cp:lastModifiedBy>WPS_1691373555</cp:lastModifiedBy>
  <dcterms:modified xsi:type="dcterms:W3CDTF">2023-11-30T09:41:45Z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CF8D4396ED6847649BB050D9CEB27509_11</vt:lpwstr>
  </property>
</Properties>
</file>